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E3E0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Hlk81549195"/>
      <w:r w:rsidRPr="00FB6F3E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</w:p>
    <w:p w14:paraId="7ED0CDFB" w14:textId="6F670362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  <w:r w:rsidRPr="00FB6F3E">
        <w:rPr>
          <w:rFonts w:ascii="Calibri" w:eastAsia="Calibri" w:hAnsi="Calibri" w:cs="Times New Roman"/>
          <w:b/>
          <w:sz w:val="28"/>
          <w:szCs w:val="28"/>
        </w:rPr>
        <w:t>Šk. g. 202</w:t>
      </w:r>
      <w:r w:rsidR="005A7EE3">
        <w:rPr>
          <w:rFonts w:ascii="Calibri" w:eastAsia="Calibri" w:hAnsi="Calibri" w:cs="Times New Roman"/>
          <w:b/>
          <w:sz w:val="28"/>
          <w:szCs w:val="28"/>
        </w:rPr>
        <w:t>2</w:t>
      </w:r>
      <w:r w:rsidRPr="00FB6F3E">
        <w:rPr>
          <w:rFonts w:ascii="Calibri" w:eastAsia="Calibri" w:hAnsi="Calibri" w:cs="Times New Roman"/>
          <w:b/>
          <w:sz w:val="28"/>
          <w:szCs w:val="28"/>
        </w:rPr>
        <w:t>./202</w:t>
      </w:r>
      <w:r w:rsidR="005A7EE3">
        <w:rPr>
          <w:rFonts w:ascii="Calibri" w:eastAsia="Calibri" w:hAnsi="Calibri" w:cs="Times New Roman"/>
          <w:b/>
          <w:sz w:val="28"/>
          <w:szCs w:val="28"/>
        </w:rPr>
        <w:t>3</w:t>
      </w:r>
      <w:r w:rsidRPr="00FB6F3E"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2B7B0C92" w14:textId="5E26357B" w:rsidR="00FB6F3E" w:rsidRPr="00FB6F3E" w:rsidRDefault="00EB15CE" w:rsidP="00EB15CE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učiteljica: Slavica Dvoraček</w:t>
      </w:r>
      <w:r w:rsidR="005A7EE3">
        <w:rPr>
          <w:rFonts w:ascii="Calibri" w:eastAsia="Calibri" w:hAnsi="Calibri" w:cs="Times New Roman"/>
          <w:b/>
          <w:sz w:val="28"/>
          <w:szCs w:val="28"/>
        </w:rPr>
        <w:t>, prof., učitelj savjetnik</w:t>
      </w:r>
    </w:p>
    <w:bookmarkEnd w:id="0"/>
    <w:p w14:paraId="10FF04B1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  <w:r w:rsidRPr="00FB6F3E">
        <w:rPr>
          <w:rFonts w:ascii="Calibri" w:eastAsia="Calibri" w:hAnsi="Calibri" w:cs="Times New Roman"/>
          <w:b/>
          <w:sz w:val="28"/>
          <w:szCs w:val="28"/>
        </w:rPr>
        <w:t>7. razred</w:t>
      </w:r>
    </w:p>
    <w:p w14:paraId="2263B173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410"/>
        <w:gridCol w:w="2410"/>
        <w:gridCol w:w="2410"/>
      </w:tblGrid>
      <w:tr w:rsidR="00FB6F3E" w:rsidRPr="00FB6F3E" w14:paraId="0F3DF0F7" w14:textId="77777777" w:rsidTr="00BB6626">
        <w:tc>
          <w:tcPr>
            <w:tcW w:w="2405" w:type="dxa"/>
          </w:tcPr>
          <w:p w14:paraId="659B56A0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6" w:type="dxa"/>
          </w:tcPr>
          <w:p w14:paraId="13572DC4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68" w:type="dxa"/>
          </w:tcPr>
          <w:p w14:paraId="1283726D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410" w:type="dxa"/>
          </w:tcPr>
          <w:p w14:paraId="57C9783E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10" w:type="dxa"/>
          </w:tcPr>
          <w:p w14:paraId="6716C8A6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410" w:type="dxa"/>
          </w:tcPr>
          <w:p w14:paraId="701C783F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FB6F3E" w:rsidRPr="00FB6F3E" w14:paraId="7A883D51" w14:textId="77777777" w:rsidTr="00BB6626">
        <w:tc>
          <w:tcPr>
            <w:tcW w:w="2405" w:type="dxa"/>
          </w:tcPr>
          <w:p w14:paraId="5651F2BE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OŠ GK A.7.1</w:t>
            </w:r>
            <w:r w:rsidRPr="00FB6F3E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6" w:type="dxa"/>
          </w:tcPr>
          <w:p w14:paraId="20DA5A03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73BBE9A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AFF66D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319F2F2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589EC68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Poznaje 5 -12 skladbi.</w:t>
            </w:r>
          </w:p>
          <w:p w14:paraId="673F17F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FB6F3E" w:rsidRPr="00FB6F3E" w14:paraId="0DFA1159" w14:textId="77777777" w:rsidTr="00BB6626">
        <w:tc>
          <w:tcPr>
            <w:tcW w:w="2405" w:type="dxa"/>
          </w:tcPr>
          <w:p w14:paraId="57A548A8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OŠ GK A.7.2</w:t>
            </w:r>
            <w:r w:rsidRPr="00FB6F3E">
              <w:rPr>
                <w:rFonts w:ascii="Calibri" w:eastAsia="Calibri" w:hAnsi="Calibri" w:cs="Times New Roman"/>
              </w:rPr>
              <w:t>. Učenik razlikuje udaraljke s određenom i neodređenom visinom tona, skupinu glazbala i orkestre te opaža izvedbenu ulogu glazbala.</w:t>
            </w:r>
          </w:p>
        </w:tc>
        <w:tc>
          <w:tcPr>
            <w:tcW w:w="2126" w:type="dxa"/>
          </w:tcPr>
          <w:p w14:paraId="7AE1352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opisuje zvuk i izgled nekih udaraljki te ih uz navođenje pridružuje odgovarajućoj skupini.</w:t>
            </w:r>
          </w:p>
        </w:tc>
        <w:tc>
          <w:tcPr>
            <w:tcW w:w="2268" w:type="dxa"/>
          </w:tcPr>
          <w:p w14:paraId="2CC167D2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zvuk i izgled nekih udaraljki te ih uz navođenje pridružuje odgovarajućoj skupini.</w:t>
            </w:r>
          </w:p>
          <w:p w14:paraId="12B8BBE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neke orkestre.</w:t>
            </w:r>
          </w:p>
        </w:tc>
        <w:tc>
          <w:tcPr>
            <w:tcW w:w="2410" w:type="dxa"/>
          </w:tcPr>
          <w:p w14:paraId="540E6EBA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zvuk i izgled udaraljki te ih pridružuje odgovarajućoj skupini.</w:t>
            </w:r>
          </w:p>
          <w:p w14:paraId="48BACA88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neke orkestre.</w:t>
            </w:r>
          </w:p>
        </w:tc>
        <w:tc>
          <w:tcPr>
            <w:tcW w:w="2410" w:type="dxa"/>
          </w:tcPr>
          <w:p w14:paraId="40F8B20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zvuk i izgled većine udaraljki te ih pridružuje odgovarajućoj skupini.</w:t>
            </w:r>
          </w:p>
          <w:p w14:paraId="1FD187B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orkestre.</w:t>
            </w:r>
          </w:p>
        </w:tc>
        <w:tc>
          <w:tcPr>
            <w:tcW w:w="2410" w:type="dxa"/>
          </w:tcPr>
          <w:p w14:paraId="44511A0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zvuk i izgled svih udaraljki te ih pridružuje odgovarajućoj skupini.</w:t>
            </w:r>
          </w:p>
          <w:p w14:paraId="76614DF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orkestre.</w:t>
            </w:r>
          </w:p>
        </w:tc>
      </w:tr>
      <w:tr w:rsidR="00FB6F3E" w:rsidRPr="00FB6F3E" w14:paraId="38CD8757" w14:textId="77777777" w:rsidTr="00BB6626">
        <w:tc>
          <w:tcPr>
            <w:tcW w:w="2405" w:type="dxa"/>
          </w:tcPr>
          <w:p w14:paraId="4D78316A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A.7.3. </w:t>
            </w:r>
            <w:r w:rsidRPr="00FB6F3E">
              <w:rPr>
                <w:rFonts w:ascii="Calibri" w:eastAsia="Calibri" w:hAnsi="Calibri" w:cs="Times New Roman"/>
              </w:rPr>
              <w:t>Učenik na temelju slušanja prepoznaje različite glazbene vrste.</w:t>
            </w:r>
          </w:p>
        </w:tc>
        <w:tc>
          <w:tcPr>
            <w:tcW w:w="2126" w:type="dxa"/>
          </w:tcPr>
          <w:p w14:paraId="170C7E2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opisuje neke instrumentalne i vokalno-instrumentalne glazbene vrste.</w:t>
            </w:r>
          </w:p>
        </w:tc>
        <w:tc>
          <w:tcPr>
            <w:tcW w:w="2268" w:type="dxa"/>
          </w:tcPr>
          <w:p w14:paraId="5551A04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neke instrumentalne i vokalno-instrumentalne glazbene vrste.</w:t>
            </w:r>
          </w:p>
        </w:tc>
        <w:tc>
          <w:tcPr>
            <w:tcW w:w="2410" w:type="dxa"/>
          </w:tcPr>
          <w:p w14:paraId="377E770B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instrumentalne i vokalno-instrumentalne glazbene vrste.</w:t>
            </w:r>
          </w:p>
        </w:tc>
        <w:tc>
          <w:tcPr>
            <w:tcW w:w="2410" w:type="dxa"/>
          </w:tcPr>
          <w:p w14:paraId="09A9C42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Većinom opisuje pojedine instrumentalne i vokalno-instrumentalne glazbene vrste.</w:t>
            </w:r>
          </w:p>
        </w:tc>
        <w:tc>
          <w:tcPr>
            <w:tcW w:w="2410" w:type="dxa"/>
          </w:tcPr>
          <w:p w14:paraId="50D5E56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pojedine instrumentalne i vokalno-instrumentalne glazbene vrste i samostalno navodi glazbene primjere.</w:t>
            </w:r>
          </w:p>
        </w:tc>
      </w:tr>
      <w:tr w:rsidR="00FB6F3E" w:rsidRPr="00FB6F3E" w14:paraId="5916AA1E" w14:textId="77777777" w:rsidTr="00BB6626">
        <w:tc>
          <w:tcPr>
            <w:tcW w:w="2405" w:type="dxa"/>
          </w:tcPr>
          <w:p w14:paraId="3FCDEAEC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A.7.4. </w:t>
            </w:r>
            <w:r w:rsidRPr="00FB6F3E">
              <w:rPr>
                <w:rFonts w:ascii="Calibri" w:eastAsia="Calibri" w:hAnsi="Calibri" w:cs="Times New Roman"/>
              </w:rPr>
              <w:t>Učenik temeljem slušanja glazbe razlikuje vokalnu, instrumentalnu i vokalno-instrumentalnu glazbu te različite izvođačke sastave</w:t>
            </w:r>
            <w:r w:rsidRPr="00FB6F3E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2126" w:type="dxa"/>
          </w:tcPr>
          <w:p w14:paraId="59BA432A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 xml:space="preserve">Slabo razlikuje vokalne, instrumentalne i vokalno-instrumentalne sastave. Ne prepoznaje izvođačke sastave na </w:t>
            </w:r>
            <w:r w:rsidRPr="00FB6F3E">
              <w:rPr>
                <w:rFonts w:ascii="Calibri" w:eastAsia="Calibri" w:hAnsi="Calibri" w:cs="Times New Roman"/>
              </w:rPr>
              <w:lastRenderedPageBreak/>
              <w:t>konkretnom primjeru.</w:t>
            </w:r>
          </w:p>
        </w:tc>
        <w:tc>
          <w:tcPr>
            <w:tcW w:w="2268" w:type="dxa"/>
          </w:tcPr>
          <w:p w14:paraId="59AF7D8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 xml:space="preserve">Djelomično razlikuje neke vokalne, instrumentalne i vokalno-instrumentalne sastave bez prepoznavanja </w:t>
            </w:r>
            <w:r w:rsidRPr="00FB6F3E">
              <w:rPr>
                <w:rFonts w:ascii="Calibri" w:eastAsia="Calibri" w:hAnsi="Calibri" w:cs="Times New Roman"/>
              </w:rPr>
              <w:lastRenderedPageBreak/>
              <w:t>izvođačkih sastava na konkretnom primjeru.</w:t>
            </w:r>
          </w:p>
        </w:tc>
        <w:tc>
          <w:tcPr>
            <w:tcW w:w="2410" w:type="dxa"/>
          </w:tcPr>
          <w:p w14:paraId="3C6F3A4C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Djelomično razlikuje vokalne, instrumentalne i vokalno-instrumentalne sastave te prepoznaje primjere za neke izvođačke sastave.</w:t>
            </w:r>
          </w:p>
        </w:tc>
        <w:tc>
          <w:tcPr>
            <w:tcW w:w="2410" w:type="dxa"/>
          </w:tcPr>
          <w:p w14:paraId="121C4D6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Većinom razlikuje različite vokalne, instrumentalne i vokalno-instrumentalne sastave te prepoznaje primjere za većinu izvođačkih sastava.</w:t>
            </w:r>
          </w:p>
        </w:tc>
        <w:tc>
          <w:tcPr>
            <w:tcW w:w="2410" w:type="dxa"/>
          </w:tcPr>
          <w:p w14:paraId="62D323F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različite vokalne, instrumentalne i vokalno-instrumentalne sastave i samostalno prepoznaje primjere za izvođačke sastave.</w:t>
            </w:r>
          </w:p>
        </w:tc>
      </w:tr>
      <w:tr w:rsidR="00FB6F3E" w:rsidRPr="00FB6F3E" w14:paraId="04ACAAC7" w14:textId="77777777" w:rsidTr="00BB6626">
        <w:tc>
          <w:tcPr>
            <w:tcW w:w="2405" w:type="dxa"/>
          </w:tcPr>
          <w:p w14:paraId="55892B5F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A.7.5. </w:t>
            </w:r>
            <w:r w:rsidRPr="00FB6F3E">
              <w:rPr>
                <w:rFonts w:ascii="Calibri" w:eastAsia="Calibri" w:hAnsi="Calibri" w:cs="Times New Roman"/>
              </w:rPr>
              <w:t>Učenik temeljem slušanja glazbe opisuje sonatni oblik.</w:t>
            </w:r>
          </w:p>
        </w:tc>
        <w:tc>
          <w:tcPr>
            <w:tcW w:w="2126" w:type="dxa"/>
          </w:tcPr>
          <w:p w14:paraId="0A51B9A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opisuje sonatni oblik uz pomoć učitelja.</w:t>
            </w:r>
          </w:p>
        </w:tc>
        <w:tc>
          <w:tcPr>
            <w:tcW w:w="2268" w:type="dxa"/>
          </w:tcPr>
          <w:p w14:paraId="7C4AE7F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sonatni oblik uz pomoć učitelja.</w:t>
            </w:r>
          </w:p>
        </w:tc>
        <w:tc>
          <w:tcPr>
            <w:tcW w:w="2410" w:type="dxa"/>
          </w:tcPr>
          <w:p w14:paraId="60B2F64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Većim dijelom opisuje sonatni oblik.</w:t>
            </w:r>
          </w:p>
        </w:tc>
        <w:tc>
          <w:tcPr>
            <w:tcW w:w="2410" w:type="dxa"/>
          </w:tcPr>
          <w:p w14:paraId="4C9FF21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sonatni oblik.</w:t>
            </w:r>
          </w:p>
        </w:tc>
        <w:tc>
          <w:tcPr>
            <w:tcW w:w="2410" w:type="dxa"/>
          </w:tcPr>
          <w:p w14:paraId="2F1646F3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sonatni oblik i prepoznaje njegove dijelove tijekom slušanja glazbenog primjera.</w:t>
            </w:r>
          </w:p>
        </w:tc>
      </w:tr>
      <w:tr w:rsidR="00FB6F3E" w:rsidRPr="00FB6F3E" w14:paraId="2EB2B0C6" w14:textId="77777777" w:rsidTr="00BB6626">
        <w:tc>
          <w:tcPr>
            <w:tcW w:w="2405" w:type="dxa"/>
          </w:tcPr>
          <w:p w14:paraId="6F20473E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OŠ GK B.7.1</w:t>
            </w:r>
            <w:r w:rsidRPr="00FB6F3E">
              <w:rPr>
                <w:rFonts w:ascii="Calibri" w:eastAsia="Calibri" w:hAnsi="Calibri" w:cs="Times New Roman"/>
              </w:rPr>
              <w:t>. Učenik sudjeluje u zajedničkoj izvedbi glazbe.</w:t>
            </w:r>
          </w:p>
        </w:tc>
        <w:tc>
          <w:tcPr>
            <w:tcW w:w="2126" w:type="dxa"/>
          </w:tcPr>
          <w:p w14:paraId="445A032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C377264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62C38E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Nevoljko sudjeluje u zajedničkoj izvedbi, ometa zajedničku izvedbu te vrednuje zajedničku izvedbu.</w:t>
            </w:r>
          </w:p>
        </w:tc>
        <w:tc>
          <w:tcPr>
            <w:tcW w:w="2410" w:type="dxa"/>
          </w:tcPr>
          <w:p w14:paraId="698FAFD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Sudjeluje u zajedničkoj izvedbi te vrednuje zajedničku izvedbu.</w:t>
            </w:r>
          </w:p>
        </w:tc>
        <w:tc>
          <w:tcPr>
            <w:tcW w:w="2410" w:type="dxa"/>
          </w:tcPr>
          <w:p w14:paraId="48598E3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Kreativno sudjeluje u zajedničkoj izvedbi, pomaže drugima te vrednuje zajedničku izvedbu.</w:t>
            </w:r>
          </w:p>
        </w:tc>
      </w:tr>
      <w:tr w:rsidR="00FB6F3E" w:rsidRPr="00FB6F3E" w14:paraId="61C5B3F3" w14:textId="77777777" w:rsidTr="00BB6626">
        <w:tc>
          <w:tcPr>
            <w:tcW w:w="2405" w:type="dxa"/>
          </w:tcPr>
          <w:p w14:paraId="18346403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B.7.2. </w:t>
            </w:r>
            <w:r w:rsidRPr="00FB6F3E">
              <w:rPr>
                <w:rFonts w:ascii="Calibri" w:eastAsia="Calibri" w:hAnsi="Calibri" w:cs="Times New Roman"/>
              </w:rPr>
              <w:t>Učenik pjevanjem izvodi autorske i tradicijske pjesme iz Hrvatske i svijeta.</w:t>
            </w:r>
          </w:p>
        </w:tc>
        <w:tc>
          <w:tcPr>
            <w:tcW w:w="2126" w:type="dxa"/>
          </w:tcPr>
          <w:p w14:paraId="2CED96E4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31C26D7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AEE306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EC35513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410" w:type="dxa"/>
          </w:tcPr>
          <w:p w14:paraId="56A3B78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Pjeva/izvodi autorske i tradicijske pjesme iz Hrvatske i svijeta te pritom  uvažava pravila kulture pjevanja, intonaciju, ritam i tekst.</w:t>
            </w:r>
          </w:p>
        </w:tc>
      </w:tr>
      <w:tr w:rsidR="00FB6F3E" w:rsidRPr="00FB6F3E" w14:paraId="1DC69693" w14:textId="77777777" w:rsidTr="00BB6626">
        <w:tc>
          <w:tcPr>
            <w:tcW w:w="2405" w:type="dxa"/>
          </w:tcPr>
          <w:p w14:paraId="78956AA8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B.7.3. </w:t>
            </w:r>
            <w:r w:rsidRPr="00FB6F3E">
              <w:rPr>
                <w:rFonts w:ascii="Calibri" w:eastAsia="Calibri" w:hAnsi="Calibri" w:cs="Times New Roman"/>
              </w:rPr>
              <w:t>Učenik sviranjem i/ili pokretom izvodi umjetničku, tradicijsku, popularnu ili vlastitu glazbu. Sudjeluje u aktivnostima glazbenog stvaralaštva.</w:t>
            </w:r>
          </w:p>
        </w:tc>
        <w:tc>
          <w:tcPr>
            <w:tcW w:w="2126" w:type="dxa"/>
          </w:tcPr>
          <w:p w14:paraId="1729B92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36AFD17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203E86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3AF84C6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 xml:space="preserve">Svira dobe, kraće ritamske obrasce i pratnju te kraće instrumentalne skladbe. Izražava se pokretom uz glazbu prateći pokretom glazbeno-izražajne sastavnice i/ili izvodeći plesnu koreografiju. Sudjeluje u nekim aktivnostima glazbenog stvaralaštva. </w:t>
            </w:r>
          </w:p>
        </w:tc>
        <w:tc>
          <w:tcPr>
            <w:tcW w:w="2410" w:type="dxa"/>
          </w:tcPr>
          <w:p w14:paraId="6298DF9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 xml:space="preserve"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</w:t>
            </w:r>
            <w:r w:rsidRPr="00FB6F3E">
              <w:rPr>
                <w:rFonts w:ascii="Calibri" w:eastAsia="Calibri" w:hAnsi="Calibri" w:cs="Times New Roman"/>
              </w:rPr>
              <w:lastRenderedPageBreak/>
              <w:t>izvedbu u razredu i/ili izvan njega.</w:t>
            </w:r>
          </w:p>
        </w:tc>
      </w:tr>
      <w:tr w:rsidR="00FB6F3E" w:rsidRPr="00FB6F3E" w14:paraId="71247A28" w14:textId="77777777" w:rsidTr="00BB6626">
        <w:tc>
          <w:tcPr>
            <w:tcW w:w="2405" w:type="dxa"/>
          </w:tcPr>
          <w:p w14:paraId="668B3C6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  <w:b/>
              </w:rPr>
              <w:lastRenderedPageBreak/>
              <w:t>OŠ GK C.7.1.</w:t>
            </w:r>
            <w:r w:rsidRPr="00FB6F3E">
              <w:rPr>
                <w:rFonts w:ascii="Calibri" w:eastAsia="Calibri" w:hAnsi="Calibri" w:cs="Times New Roman"/>
              </w:rPr>
              <w:t xml:space="preserve"> Učenik opaža međusobne utjecaje različitih vrsta glazbi.</w:t>
            </w:r>
          </w:p>
        </w:tc>
        <w:tc>
          <w:tcPr>
            <w:tcW w:w="2126" w:type="dxa"/>
          </w:tcPr>
          <w:p w14:paraId="0698FB5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opisuje elemente:</w:t>
            </w:r>
          </w:p>
          <w:p w14:paraId="35EEC36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23CAD98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</w:tc>
        <w:tc>
          <w:tcPr>
            <w:tcW w:w="2268" w:type="dxa"/>
          </w:tcPr>
          <w:p w14:paraId="3807CFBC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neke elemente:</w:t>
            </w:r>
          </w:p>
          <w:p w14:paraId="1EB921E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3F56AD7A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</w:tc>
        <w:tc>
          <w:tcPr>
            <w:tcW w:w="2410" w:type="dxa"/>
          </w:tcPr>
          <w:p w14:paraId="7B4A063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elemente:</w:t>
            </w:r>
          </w:p>
          <w:p w14:paraId="61DE926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32A43D0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</w:tc>
        <w:tc>
          <w:tcPr>
            <w:tcW w:w="2410" w:type="dxa"/>
          </w:tcPr>
          <w:p w14:paraId="61C6492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Većinom opisuje elemente:</w:t>
            </w:r>
          </w:p>
          <w:p w14:paraId="0EF1309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55E0E48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</w:tc>
        <w:tc>
          <w:tcPr>
            <w:tcW w:w="2410" w:type="dxa"/>
          </w:tcPr>
          <w:p w14:paraId="2FABA4D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elemente:</w:t>
            </w:r>
          </w:p>
          <w:p w14:paraId="66DFED33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379BAB9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  <w:p w14:paraId="6A12DFE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Samostalno navodi glazbene primjere.</w:t>
            </w:r>
          </w:p>
        </w:tc>
      </w:tr>
      <w:tr w:rsidR="00FB6F3E" w:rsidRPr="00FB6F3E" w14:paraId="3C43FA82" w14:textId="77777777" w:rsidTr="00BB6626">
        <w:tc>
          <w:tcPr>
            <w:tcW w:w="2405" w:type="dxa"/>
          </w:tcPr>
          <w:p w14:paraId="1F6F372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C.7.2. </w:t>
            </w:r>
            <w:r w:rsidRPr="00FB6F3E">
              <w:rPr>
                <w:rFonts w:ascii="Calibri" w:eastAsia="Calibri" w:hAnsi="Calibri" w:cs="Times New Roman"/>
              </w:rPr>
              <w:t xml:space="preserve">Učenik temeljem slušanja opisuje obilježja europske tradicijske glazbe. </w:t>
            </w:r>
          </w:p>
          <w:p w14:paraId="08A4DA39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</w:rPr>
              <w:t>Napomena: treba upoznati najmanje dva područja europske tradicijske glazbe.</w:t>
            </w:r>
          </w:p>
        </w:tc>
        <w:tc>
          <w:tcPr>
            <w:tcW w:w="2126" w:type="dxa"/>
          </w:tcPr>
          <w:p w14:paraId="37546F82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opaža i opisuje obilježja europske tradicijske glazbe.</w:t>
            </w:r>
          </w:p>
        </w:tc>
        <w:tc>
          <w:tcPr>
            <w:tcW w:w="2268" w:type="dxa"/>
          </w:tcPr>
          <w:p w14:paraId="3D46ADE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opaža i opisuje obilježja europske tradicijske glazbe uz pomoć učitelja.</w:t>
            </w:r>
          </w:p>
        </w:tc>
        <w:tc>
          <w:tcPr>
            <w:tcW w:w="2410" w:type="dxa"/>
          </w:tcPr>
          <w:p w14:paraId="5B8A9BC2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opaža i opisuje obilježja europske tradicijske glazbe.</w:t>
            </w:r>
          </w:p>
        </w:tc>
        <w:tc>
          <w:tcPr>
            <w:tcW w:w="2410" w:type="dxa"/>
          </w:tcPr>
          <w:p w14:paraId="6F8652B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Opaža i opisuje većinu obilježja europske tradicijske glazbe.</w:t>
            </w:r>
          </w:p>
        </w:tc>
        <w:tc>
          <w:tcPr>
            <w:tcW w:w="2410" w:type="dxa"/>
          </w:tcPr>
          <w:p w14:paraId="0F1F3BC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Opaža i opisuje obilježja europske tradicijske glazbe.</w:t>
            </w:r>
          </w:p>
        </w:tc>
      </w:tr>
      <w:tr w:rsidR="00FB6F3E" w:rsidRPr="00FB6F3E" w14:paraId="2AA60CFF" w14:textId="77777777" w:rsidTr="00BB6626">
        <w:tc>
          <w:tcPr>
            <w:tcW w:w="2405" w:type="dxa"/>
          </w:tcPr>
          <w:p w14:paraId="16EE2B31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</w:p>
          <w:p w14:paraId="49FBA1BC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</w:p>
          <w:p w14:paraId="55788635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ANALIZA SLUŠANOG DJELA</w:t>
            </w:r>
          </w:p>
        </w:tc>
        <w:tc>
          <w:tcPr>
            <w:tcW w:w="2126" w:type="dxa"/>
          </w:tcPr>
          <w:p w14:paraId="0BC1821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19A84FE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- Razlikuje i uočava neke glazbeno-izražajne sastavnice i izvođačke sastave te ih opisuje uz navođenje učiteljice.</w:t>
            </w:r>
          </w:p>
        </w:tc>
        <w:tc>
          <w:tcPr>
            <w:tcW w:w="2410" w:type="dxa"/>
          </w:tcPr>
          <w:p w14:paraId="690CFB98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- Razlikuje i uočava pojedine glazbeno-izražajne sastavnice i izvođačke sastave te ih opisuje djelomično točno.</w:t>
            </w:r>
          </w:p>
        </w:tc>
        <w:tc>
          <w:tcPr>
            <w:tcW w:w="2410" w:type="dxa"/>
          </w:tcPr>
          <w:p w14:paraId="321CF16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- Razlikuje i većinom točno uočava pojedine glazbeno-izražajne sastavnice i izvođačke sastave.</w:t>
            </w:r>
          </w:p>
        </w:tc>
        <w:tc>
          <w:tcPr>
            <w:tcW w:w="2410" w:type="dxa"/>
          </w:tcPr>
          <w:p w14:paraId="1B65C793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- Samostalno razlikuje i uočava pojedine glazbeno-izražajne sastavnice i izvođačke sastave.</w:t>
            </w:r>
          </w:p>
        </w:tc>
      </w:tr>
      <w:tr w:rsidR="00FB6F3E" w:rsidRPr="00FB6F3E" w14:paraId="0CC6003B" w14:textId="77777777" w:rsidTr="00BB6626">
        <w:tc>
          <w:tcPr>
            <w:tcW w:w="2405" w:type="dxa"/>
          </w:tcPr>
          <w:p w14:paraId="3F4D6E20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</w:p>
          <w:p w14:paraId="18869326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AKTIVNOST</w:t>
            </w:r>
          </w:p>
          <w:p w14:paraId="7DC7E441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(formativno)</w:t>
            </w:r>
          </w:p>
        </w:tc>
        <w:tc>
          <w:tcPr>
            <w:tcW w:w="2126" w:type="dxa"/>
          </w:tcPr>
          <w:p w14:paraId="788C8E7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341769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 xml:space="preserve">Motivacija za rad je slaba, potrebna je stalna kontrola i poticaj na aktivno sudjelovanje u rješavanju problema i povezivanju gradiva. </w:t>
            </w:r>
            <w:r w:rsidRPr="00FB6F3E">
              <w:rPr>
                <w:rFonts w:ascii="Calibri" w:eastAsia="Calibri" w:hAnsi="Calibri" w:cs="Times New Roman"/>
              </w:rPr>
              <w:lastRenderedPageBreak/>
              <w:t>Otežano uočava glazbene pojave.</w:t>
            </w:r>
          </w:p>
        </w:tc>
        <w:tc>
          <w:tcPr>
            <w:tcW w:w="2410" w:type="dxa"/>
          </w:tcPr>
          <w:p w14:paraId="416E79B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Motivacija za rad je promjenjiva i ovisi o zadanoj aktivnosti, povremeno aktivno sudjeluje u rješavanju problema i povezivanju gradiva.</w:t>
            </w:r>
          </w:p>
          <w:p w14:paraId="463FF73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Motivacija za rad je promjenjiva, povremeno aktivno sudjeluje u rješavanju problema i povezivanju gradiva, ali je potrebna kontrola i poticaj na praćenje nastave.</w:t>
            </w:r>
          </w:p>
        </w:tc>
        <w:tc>
          <w:tcPr>
            <w:tcW w:w="2410" w:type="dxa"/>
          </w:tcPr>
          <w:p w14:paraId="1EFBA00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 xml:space="preserve">Trudi se u izvršavanju zadataka, uglavnom aktivno sudjeluje u rješavanju problema i povezivanju gradiva te većinom dobro uočava glazbene pojave. </w:t>
            </w:r>
          </w:p>
          <w:p w14:paraId="3636ABA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Trudi se u izvršavanju zadataka, ali je potreban poticaj na aktivno sudjelovanje u rješavanju problema i povezivanju gradiva.</w:t>
            </w:r>
          </w:p>
        </w:tc>
        <w:tc>
          <w:tcPr>
            <w:tcW w:w="2410" w:type="dxa"/>
          </w:tcPr>
          <w:p w14:paraId="6A63ABE2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Iznimno se trudi u izvršavanju zadataka, aktivno sudjeluje u rješavanju problema i povezivanju gradiva te lakoćom uočava glazbene pojave.</w:t>
            </w:r>
          </w:p>
        </w:tc>
      </w:tr>
    </w:tbl>
    <w:p w14:paraId="097368E3" w14:textId="593726DA" w:rsidR="004D08A0" w:rsidRDefault="004D08A0"/>
    <w:p w14:paraId="33DA5608" w14:textId="5A234CC4" w:rsidR="00FB6F3E" w:rsidRDefault="00FB6F3E"/>
    <w:p w14:paraId="6FCA6940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</w:p>
    <w:p w14:paraId="4334A261" w14:textId="77777777" w:rsidR="00FB6F3E" w:rsidRPr="00FB6F3E" w:rsidRDefault="00FB6F3E" w:rsidP="00FB6F3E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B6F3E">
        <w:rPr>
          <w:rFonts w:ascii="Times New Roman" w:eastAsia="Calibri" w:hAnsi="Times New Roman" w:cs="Times New Roman"/>
          <w:b/>
          <w:sz w:val="28"/>
          <w:szCs w:val="28"/>
        </w:rPr>
        <w:t>Zadatak: Izrada multimedijske prezentacije na zadanu temu.</w:t>
      </w:r>
      <w:r w:rsidRPr="00FB6F3E">
        <w:rPr>
          <w:rFonts w:ascii="Times New Roman" w:eastAsia="Calibri" w:hAnsi="Times New Roman" w:cs="Times New Roman"/>
          <w:sz w:val="28"/>
          <w:szCs w:val="28"/>
        </w:rPr>
        <w:t xml:space="preserve"> Prezentacija treba biti rezultat istraživanja više različitih izvora (navesti izvore) te sadržavati fotografije i multimedijske sadržaje namijenjene slušateljima s ciljem boljeg razumijevanja izlaganja.</w:t>
      </w:r>
    </w:p>
    <w:p w14:paraId="55462CE4" w14:textId="77777777" w:rsidR="00FB6F3E" w:rsidRPr="00FB6F3E" w:rsidRDefault="00FB6F3E" w:rsidP="00FB6F3E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Reetkatablice1"/>
        <w:tblW w:w="14029" w:type="dxa"/>
        <w:tblLook w:val="04A0" w:firstRow="1" w:lastRow="0" w:firstColumn="1" w:lastColumn="0" w:noHBand="0" w:noVBand="1"/>
      </w:tblPr>
      <w:tblGrid>
        <w:gridCol w:w="2037"/>
        <w:gridCol w:w="2920"/>
        <w:gridCol w:w="3402"/>
        <w:gridCol w:w="3118"/>
        <w:gridCol w:w="2552"/>
      </w:tblGrid>
      <w:tr w:rsidR="00FB6F3E" w:rsidRPr="00FB6F3E" w14:paraId="5F5C6131" w14:textId="77777777" w:rsidTr="00BB6626">
        <w:tc>
          <w:tcPr>
            <w:tcW w:w="2037" w:type="dxa"/>
            <w:vMerge w:val="restart"/>
          </w:tcPr>
          <w:p w14:paraId="003515E0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SASTAVNICE</w:t>
            </w:r>
          </w:p>
        </w:tc>
        <w:tc>
          <w:tcPr>
            <w:tcW w:w="11992" w:type="dxa"/>
            <w:gridSpan w:val="4"/>
          </w:tcPr>
          <w:p w14:paraId="0F94ED32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RAZINE OSTVARENOSTI KRITERIJA</w:t>
            </w:r>
          </w:p>
        </w:tc>
      </w:tr>
      <w:tr w:rsidR="00FB6F3E" w:rsidRPr="00FB6F3E" w14:paraId="66A863D9" w14:textId="77777777" w:rsidTr="00BB6626">
        <w:tc>
          <w:tcPr>
            <w:tcW w:w="2037" w:type="dxa"/>
            <w:vMerge/>
          </w:tcPr>
          <w:p w14:paraId="76098EB0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7B3EBF3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3 boda</w:t>
            </w:r>
          </w:p>
        </w:tc>
        <w:tc>
          <w:tcPr>
            <w:tcW w:w="3402" w:type="dxa"/>
          </w:tcPr>
          <w:p w14:paraId="7C6FA669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2 boda</w:t>
            </w:r>
          </w:p>
        </w:tc>
        <w:tc>
          <w:tcPr>
            <w:tcW w:w="3118" w:type="dxa"/>
          </w:tcPr>
          <w:p w14:paraId="625001E1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1 bod</w:t>
            </w:r>
          </w:p>
        </w:tc>
        <w:tc>
          <w:tcPr>
            <w:tcW w:w="2552" w:type="dxa"/>
          </w:tcPr>
          <w:p w14:paraId="3264F8C5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0 bodova</w:t>
            </w:r>
          </w:p>
        </w:tc>
      </w:tr>
      <w:tr w:rsidR="00FB6F3E" w:rsidRPr="00FB6F3E" w14:paraId="01E3154E" w14:textId="77777777" w:rsidTr="00BB6626">
        <w:tc>
          <w:tcPr>
            <w:tcW w:w="2037" w:type="dxa"/>
          </w:tcPr>
          <w:p w14:paraId="650B6435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sadržaj</w:t>
            </w:r>
          </w:p>
        </w:tc>
        <w:tc>
          <w:tcPr>
            <w:tcW w:w="2920" w:type="dxa"/>
          </w:tcPr>
          <w:p w14:paraId="01102012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Sadržaj je u potpunosti točan, a zaključci su ispravno izvedeni.</w:t>
            </w:r>
          </w:p>
        </w:tc>
        <w:tc>
          <w:tcPr>
            <w:tcW w:w="3402" w:type="dxa"/>
          </w:tcPr>
          <w:p w14:paraId="62AB0BB5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Sadržaj je većim dijelom točan. Zaključci su većinom ispravno izvedeni.</w:t>
            </w:r>
          </w:p>
        </w:tc>
        <w:tc>
          <w:tcPr>
            <w:tcW w:w="3118" w:type="dxa"/>
          </w:tcPr>
          <w:p w14:paraId="56ED0F4C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Sadržaj je manjim dijelom točan. Zaključaka nema ili nisu ispravno izvedeni.</w:t>
            </w:r>
          </w:p>
        </w:tc>
        <w:tc>
          <w:tcPr>
            <w:tcW w:w="2552" w:type="dxa"/>
            <w:vMerge w:val="restart"/>
          </w:tcPr>
          <w:p w14:paraId="5F70B52B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Sastavnica nije ostvarena niti na najnižoj razini ili ne postoji.</w:t>
            </w:r>
          </w:p>
        </w:tc>
      </w:tr>
      <w:tr w:rsidR="00FB6F3E" w:rsidRPr="00FB6F3E" w14:paraId="0681E053" w14:textId="77777777" w:rsidTr="00BB6626">
        <w:tc>
          <w:tcPr>
            <w:tcW w:w="2037" w:type="dxa"/>
          </w:tcPr>
          <w:p w14:paraId="7FB50D46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sistematičnost</w:t>
            </w:r>
          </w:p>
        </w:tc>
        <w:tc>
          <w:tcPr>
            <w:tcW w:w="2920" w:type="dxa"/>
          </w:tcPr>
          <w:p w14:paraId="5FCB429F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Sadržaji su u potpunosti sistematično prikazani logičkim slijedom.</w:t>
            </w:r>
          </w:p>
        </w:tc>
        <w:tc>
          <w:tcPr>
            <w:tcW w:w="3402" w:type="dxa"/>
          </w:tcPr>
          <w:p w14:paraId="13C7B8D6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Sadržaji su uglavnom sistematično prikazani, ali su djelomično potpuni ili preopširni i/ili nejasni.</w:t>
            </w:r>
          </w:p>
        </w:tc>
        <w:tc>
          <w:tcPr>
            <w:tcW w:w="3118" w:type="dxa"/>
          </w:tcPr>
          <w:p w14:paraId="700AB2DF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Sistematičnost prikaza izostaje, a odabrani sadržaji su međusobno nepovezani.</w:t>
            </w:r>
          </w:p>
        </w:tc>
        <w:tc>
          <w:tcPr>
            <w:tcW w:w="2552" w:type="dxa"/>
            <w:vMerge/>
          </w:tcPr>
          <w:p w14:paraId="657CF9A3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6F3E" w:rsidRPr="00FB6F3E" w14:paraId="45CB105F" w14:textId="77777777" w:rsidTr="00BB6626">
        <w:tc>
          <w:tcPr>
            <w:tcW w:w="2037" w:type="dxa"/>
          </w:tcPr>
          <w:p w14:paraId="3F87782A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izvori</w:t>
            </w:r>
          </w:p>
        </w:tc>
        <w:tc>
          <w:tcPr>
            <w:tcW w:w="2920" w:type="dxa"/>
          </w:tcPr>
          <w:p w14:paraId="4B19BCF2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Korištena su tri ili više izvora podataka, svi izvori su ispravno navedeni.</w:t>
            </w:r>
          </w:p>
        </w:tc>
        <w:tc>
          <w:tcPr>
            <w:tcW w:w="3402" w:type="dxa"/>
          </w:tcPr>
          <w:p w14:paraId="35727A03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Korištena su dva izvora podataka. Oba su ispravno navedena.</w:t>
            </w:r>
          </w:p>
        </w:tc>
        <w:tc>
          <w:tcPr>
            <w:tcW w:w="3118" w:type="dxa"/>
          </w:tcPr>
          <w:p w14:paraId="03BFA6BA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Korišten je samo jedan izvor podataka. Ispravno je naveden.</w:t>
            </w:r>
          </w:p>
        </w:tc>
        <w:tc>
          <w:tcPr>
            <w:tcW w:w="2552" w:type="dxa"/>
            <w:vMerge/>
          </w:tcPr>
          <w:p w14:paraId="6A6BD4AE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6F3E" w:rsidRPr="00FB6F3E" w14:paraId="7024C305" w14:textId="77777777" w:rsidTr="00BB6626">
        <w:tc>
          <w:tcPr>
            <w:tcW w:w="2037" w:type="dxa"/>
          </w:tcPr>
          <w:p w14:paraId="1A3FDB57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multimedijski sadržaji</w:t>
            </w:r>
          </w:p>
        </w:tc>
        <w:tc>
          <w:tcPr>
            <w:tcW w:w="2920" w:type="dxa"/>
          </w:tcPr>
          <w:p w14:paraId="1ECE4F61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Korištene su odgovarajuće i lako razumljive fotografije i audio-vizualni zapisi, na odgovarajućim mjestima.</w:t>
            </w:r>
          </w:p>
        </w:tc>
        <w:tc>
          <w:tcPr>
            <w:tcW w:w="3402" w:type="dxa"/>
          </w:tcPr>
          <w:p w14:paraId="6BC80D9C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Uglavnom su korištene odgovarajuće i lako razumljive fotografije i audio-vizualni zapisi. Mjesta na kojima se koriste uglavnom su odgovarajuća.</w:t>
            </w:r>
          </w:p>
        </w:tc>
        <w:tc>
          <w:tcPr>
            <w:tcW w:w="3118" w:type="dxa"/>
          </w:tcPr>
          <w:p w14:paraId="74BEFD8C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Fotografije ili audio-vizualni zapisi su nedostatni za pojašnjenje sadržaja ili često nisu u funkciji sadržaja.</w:t>
            </w:r>
          </w:p>
        </w:tc>
        <w:tc>
          <w:tcPr>
            <w:tcW w:w="2552" w:type="dxa"/>
            <w:vMerge/>
          </w:tcPr>
          <w:p w14:paraId="5E11E901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6F3E" w:rsidRPr="00FB6F3E" w14:paraId="03E827CD" w14:textId="77777777" w:rsidTr="00BB6626">
        <w:tc>
          <w:tcPr>
            <w:tcW w:w="2037" w:type="dxa"/>
          </w:tcPr>
          <w:p w14:paraId="4D5A9A17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Dodatni bodovi: vrijeme predaje</w:t>
            </w:r>
          </w:p>
        </w:tc>
        <w:tc>
          <w:tcPr>
            <w:tcW w:w="2920" w:type="dxa"/>
          </w:tcPr>
          <w:p w14:paraId="27D64730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3 dana prije zadanog roka.</w:t>
            </w:r>
          </w:p>
        </w:tc>
        <w:tc>
          <w:tcPr>
            <w:tcW w:w="3402" w:type="dxa"/>
          </w:tcPr>
          <w:p w14:paraId="6275C651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2 dana prije zadanog roka.</w:t>
            </w:r>
          </w:p>
        </w:tc>
        <w:tc>
          <w:tcPr>
            <w:tcW w:w="3118" w:type="dxa"/>
          </w:tcPr>
          <w:p w14:paraId="5B45EF03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1 dan prije zadanog roka te na dan zadanog roka.</w:t>
            </w:r>
          </w:p>
        </w:tc>
        <w:tc>
          <w:tcPr>
            <w:tcW w:w="2552" w:type="dxa"/>
          </w:tcPr>
          <w:p w14:paraId="24EF1AE9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Nakon zadanog roka.</w:t>
            </w:r>
          </w:p>
        </w:tc>
      </w:tr>
    </w:tbl>
    <w:p w14:paraId="7C4B9E10" w14:textId="77777777" w:rsidR="00FB6F3E" w:rsidRPr="00FB6F3E" w:rsidRDefault="00FB6F3E" w:rsidP="00FB6F3E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7BFBCDA9" w14:textId="77777777" w:rsidR="00FB6F3E" w:rsidRPr="00FB6F3E" w:rsidRDefault="00FB6F3E" w:rsidP="00FB6F3E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3359719F" w14:textId="77777777" w:rsidR="00FB6F3E" w:rsidRDefault="00FB6F3E" w:rsidP="00FB6F3E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060DC45C" w14:textId="532E5400" w:rsidR="00FB6F3E" w:rsidRPr="00FB6F3E" w:rsidRDefault="00FB6F3E" w:rsidP="00FB6F3E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FB6F3E">
        <w:rPr>
          <w:rFonts w:ascii="Calibri" w:eastAsia="Calibri" w:hAnsi="Calibri" w:cs="Times New Roman"/>
          <w:b/>
          <w:sz w:val="28"/>
          <w:szCs w:val="28"/>
        </w:rPr>
        <w:t>KRITERIJI VREDNOVANJA: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FB6F3E" w:rsidRPr="00FB6F3E" w14:paraId="0DE0B62E" w14:textId="77777777" w:rsidTr="00BB6626">
        <w:tc>
          <w:tcPr>
            <w:tcW w:w="2122" w:type="dxa"/>
          </w:tcPr>
          <w:p w14:paraId="5932A98E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BODOVI</w:t>
            </w:r>
          </w:p>
        </w:tc>
        <w:tc>
          <w:tcPr>
            <w:tcW w:w="2409" w:type="dxa"/>
          </w:tcPr>
          <w:p w14:paraId="079F85E7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OCJENA</w:t>
            </w:r>
          </w:p>
        </w:tc>
      </w:tr>
      <w:tr w:rsidR="00FB6F3E" w:rsidRPr="00FB6F3E" w14:paraId="1661051B" w14:textId="77777777" w:rsidTr="00BB6626">
        <w:tc>
          <w:tcPr>
            <w:tcW w:w="2122" w:type="dxa"/>
          </w:tcPr>
          <w:p w14:paraId="00B9AC3A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13 – 15</w:t>
            </w:r>
          </w:p>
        </w:tc>
        <w:tc>
          <w:tcPr>
            <w:tcW w:w="2409" w:type="dxa"/>
          </w:tcPr>
          <w:p w14:paraId="6E10D24F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odličan (5)</w:t>
            </w:r>
          </w:p>
        </w:tc>
      </w:tr>
      <w:tr w:rsidR="00FB6F3E" w:rsidRPr="00FB6F3E" w14:paraId="28EFD00D" w14:textId="77777777" w:rsidTr="00BB6626">
        <w:tc>
          <w:tcPr>
            <w:tcW w:w="2122" w:type="dxa"/>
          </w:tcPr>
          <w:p w14:paraId="230DAB1C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11 – 12</w:t>
            </w:r>
          </w:p>
        </w:tc>
        <w:tc>
          <w:tcPr>
            <w:tcW w:w="2409" w:type="dxa"/>
          </w:tcPr>
          <w:p w14:paraId="5E6A23E4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vrlo dobar (4)</w:t>
            </w:r>
          </w:p>
        </w:tc>
      </w:tr>
      <w:tr w:rsidR="00FB6F3E" w:rsidRPr="00FB6F3E" w14:paraId="207FB518" w14:textId="77777777" w:rsidTr="00BB6626">
        <w:tc>
          <w:tcPr>
            <w:tcW w:w="2122" w:type="dxa"/>
          </w:tcPr>
          <w:p w14:paraId="130D3D9F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9 – 10 </w:t>
            </w:r>
          </w:p>
        </w:tc>
        <w:tc>
          <w:tcPr>
            <w:tcW w:w="2409" w:type="dxa"/>
          </w:tcPr>
          <w:p w14:paraId="7E01A764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dobar (3)</w:t>
            </w:r>
          </w:p>
        </w:tc>
      </w:tr>
      <w:tr w:rsidR="00FB6F3E" w:rsidRPr="00FB6F3E" w14:paraId="7D9A75F4" w14:textId="77777777" w:rsidTr="00BB6626">
        <w:tc>
          <w:tcPr>
            <w:tcW w:w="2122" w:type="dxa"/>
          </w:tcPr>
          <w:p w14:paraId="5E5326AB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 – 8 </w:t>
            </w:r>
          </w:p>
        </w:tc>
        <w:tc>
          <w:tcPr>
            <w:tcW w:w="2409" w:type="dxa"/>
          </w:tcPr>
          <w:p w14:paraId="36FF5CDE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dovoljan (2)</w:t>
            </w:r>
          </w:p>
        </w:tc>
      </w:tr>
      <w:tr w:rsidR="00FB6F3E" w:rsidRPr="00FB6F3E" w14:paraId="7FBCC07B" w14:textId="77777777" w:rsidTr="00BB6626">
        <w:tc>
          <w:tcPr>
            <w:tcW w:w="2122" w:type="dxa"/>
          </w:tcPr>
          <w:p w14:paraId="29AC1285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6 i manje</w:t>
            </w:r>
          </w:p>
        </w:tc>
        <w:tc>
          <w:tcPr>
            <w:tcW w:w="2409" w:type="dxa"/>
          </w:tcPr>
          <w:p w14:paraId="494F3BFA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nedovoljan (1)</w:t>
            </w:r>
          </w:p>
        </w:tc>
      </w:tr>
    </w:tbl>
    <w:p w14:paraId="073126A6" w14:textId="77777777" w:rsidR="00FB6F3E" w:rsidRPr="00FB6F3E" w:rsidRDefault="00FB6F3E" w:rsidP="00FB6F3E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03A45A71" w14:textId="77777777" w:rsidR="00FB6F3E" w:rsidRPr="00FB6F3E" w:rsidRDefault="00FB6F3E" w:rsidP="00FB6F3E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FB6F3E">
        <w:rPr>
          <w:rFonts w:ascii="Calibri" w:eastAsia="Calibri" w:hAnsi="Calibri" w:cs="Times New Roman"/>
          <w:b/>
          <w:sz w:val="28"/>
          <w:szCs w:val="28"/>
        </w:rPr>
        <w:t>NAPOMENA: Učenici koji nemaju mogućnost izrade prezentacije, temu mogu prikazati u obliku plakata ili umne mape. I na te radove treba dodati slike ili crteže te napisati nazive primjera skladbi koje se mogu pogledati/poslušati na YouTube-u.</w:t>
      </w:r>
    </w:p>
    <w:p w14:paraId="3A5ECCC6" w14:textId="77777777" w:rsidR="00FB6F3E" w:rsidRDefault="00FB6F3E"/>
    <w:sectPr w:rsidR="00FB6F3E" w:rsidSect="00FB6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8"/>
    <w:rsid w:val="003F799E"/>
    <w:rsid w:val="004D08A0"/>
    <w:rsid w:val="005A7EE3"/>
    <w:rsid w:val="008B2458"/>
    <w:rsid w:val="00EB15CE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85F7"/>
  <w15:chartTrackingRefBased/>
  <w15:docId w15:val="{589EB2C2-35F8-466B-85D5-47F34F6B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B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Dvoraček</dc:creator>
  <cp:keywords/>
  <dc:description/>
  <cp:lastModifiedBy>Slavica Dvoraček</cp:lastModifiedBy>
  <cp:revision>4</cp:revision>
  <dcterms:created xsi:type="dcterms:W3CDTF">2021-09-03T06:17:00Z</dcterms:created>
  <dcterms:modified xsi:type="dcterms:W3CDTF">2022-09-04T11:26:00Z</dcterms:modified>
</cp:coreProperties>
</file>