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C39E01C" w14:textId="77777777" w:rsidR="00170ED0" w:rsidRPr="00170ED0" w:rsidRDefault="00170ED0" w:rsidP="00170E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170ED0">
        <w:rPr>
          <w:rFonts w:cstheme="minorHAnsi"/>
          <w:b/>
          <w:sz w:val="40"/>
          <w:szCs w:val="36"/>
        </w:rPr>
        <w:t>KRITERIJI PRAĆENJA I OCJENJIVANJA</w:t>
      </w:r>
    </w:p>
    <w:p w14:paraId="63576C75" w14:textId="77777777" w:rsidR="00170ED0" w:rsidRPr="00170ED0" w:rsidRDefault="00170ED0" w:rsidP="00170E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B1A0D93" w14:textId="5AA8E0B0" w:rsidR="00170ED0" w:rsidRPr="00170ED0" w:rsidRDefault="00170ED0" w:rsidP="00170E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3</w:t>
      </w:r>
      <w:r w:rsidRPr="00170ED0">
        <w:rPr>
          <w:rFonts w:cstheme="minorHAnsi"/>
          <w:b/>
          <w:sz w:val="40"/>
          <w:szCs w:val="36"/>
        </w:rPr>
        <w:t>. razred</w:t>
      </w:r>
    </w:p>
    <w:p w14:paraId="27609D1A" w14:textId="79CEE3A6" w:rsidR="00170ED0" w:rsidRPr="00170ED0" w:rsidRDefault="00170ED0" w:rsidP="00170E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170ED0">
        <w:rPr>
          <w:rFonts w:cstheme="minorHAnsi"/>
          <w:b/>
          <w:sz w:val="40"/>
          <w:szCs w:val="36"/>
        </w:rPr>
        <w:t>III. osnovna škola Bjelovar</w:t>
      </w:r>
    </w:p>
    <w:p w14:paraId="58CDBE5C" w14:textId="77777777" w:rsidR="00170ED0" w:rsidRPr="00170ED0" w:rsidRDefault="00170ED0" w:rsidP="00170E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170ED0">
        <w:rPr>
          <w:rFonts w:cstheme="minorHAnsi"/>
          <w:b/>
          <w:sz w:val="40"/>
          <w:szCs w:val="36"/>
        </w:rPr>
        <w:t xml:space="preserve">PŠ </w:t>
      </w:r>
      <w:proofErr w:type="spellStart"/>
      <w:r w:rsidRPr="00170ED0">
        <w:rPr>
          <w:rFonts w:cstheme="minorHAnsi"/>
          <w:b/>
          <w:sz w:val="40"/>
          <w:szCs w:val="36"/>
        </w:rPr>
        <w:t>Obrovnica</w:t>
      </w:r>
      <w:proofErr w:type="spellEnd"/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13D23840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2C4AC9F" w14:textId="4E1EFA2C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5703C7C" w14:textId="0DCD2B01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2F7838F" w14:textId="3C7EAF49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174F0C" w14:textId="10405CCC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034C4FF" w14:textId="0EC9080D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14688CE" w14:textId="19FB1583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07511CA" w14:textId="36384BFF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8C858C5" w14:textId="77777777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46F282" w14:textId="77777777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F3A00B6" w14:textId="03D9AAF6" w:rsidR="00AE5B89" w:rsidRPr="00AE5B89" w:rsidRDefault="00AE5B89" w:rsidP="00AE5B89">
      <w:pPr>
        <w:pStyle w:val="Odlomakpopisa"/>
        <w:numPr>
          <w:ilvl w:val="0"/>
          <w:numId w:val="38"/>
        </w:numPr>
        <w:spacing w:after="0" w:line="240" w:lineRule="auto"/>
        <w:rPr>
          <w:rFonts w:cstheme="minorHAnsi"/>
          <w:b/>
          <w:sz w:val="32"/>
        </w:rPr>
      </w:pPr>
      <w:r w:rsidRPr="00AE5B89">
        <w:rPr>
          <w:rFonts w:cstheme="minorHAnsi"/>
          <w:b/>
          <w:sz w:val="32"/>
        </w:rPr>
        <w:t>prem</w:t>
      </w:r>
      <w:r>
        <w:rPr>
          <w:rFonts w:cstheme="minorHAnsi"/>
          <w:b/>
          <w:sz w:val="32"/>
        </w:rPr>
        <w:t xml:space="preserve">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predmeta, </w:t>
      </w:r>
      <w:r w:rsidRPr="00AE5B89">
        <w:rPr>
          <w:rFonts w:cstheme="minorHAnsi"/>
          <w:b/>
          <w:sz w:val="32"/>
        </w:rPr>
        <w:t xml:space="preserve">Vlatka </w:t>
      </w:r>
      <w:proofErr w:type="spellStart"/>
      <w:r w:rsidRPr="00AE5B89">
        <w:rPr>
          <w:rFonts w:cstheme="minorHAnsi"/>
          <w:b/>
          <w:sz w:val="32"/>
        </w:rPr>
        <w:t>Benki</w:t>
      </w:r>
      <w:proofErr w:type="spellEnd"/>
      <w:r w:rsidRPr="00AE5B89">
        <w:rPr>
          <w:rFonts w:cstheme="minorHAnsi"/>
          <w:b/>
          <w:sz w:val="32"/>
        </w:rPr>
        <w:t xml:space="preserve"> Brkić, Ana Hrkač</w:t>
      </w: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476DB53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29023CF5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5C437A4" w14:textId="342B8FEC"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0"/>
    <w:p w14:paraId="7E6B73CE" w14:textId="55DF5556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 pitanja 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Grafički: </w:t>
      </w:r>
      <w:proofErr w:type="spellStart"/>
      <w:r w:rsidRPr="00426538">
        <w:rPr>
          <w:rFonts w:asciiTheme="minorHAnsi" w:hAnsiTheme="minorHAnsi" w:cstheme="minorHAnsi"/>
          <w:i/>
          <w:iCs/>
        </w:rPr>
        <w:t>monotipija</w:t>
      </w:r>
      <w:proofErr w:type="spellEnd"/>
      <w:r w:rsidRPr="00426538">
        <w:rPr>
          <w:rFonts w:asciiTheme="minorHAnsi" w:hAnsiTheme="minorHAnsi" w:cstheme="minorHAnsi"/>
          <w:i/>
          <w:iCs/>
        </w:rPr>
        <w:t>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skulptura, grafika, vizualne komunikacije i dizajn (grafički, produkt), arhitektura i urbanizam, fotografija, film (igrani i animirani), strip, scenografija, kostimografija,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C1830FF" w14:textId="228E21CF"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vojstva </w:t>
            </w:r>
            <w:proofErr w:type="spellStart"/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Opisuje i crta točku, dužinu, </w:t>
            </w:r>
            <w:proofErr w:type="spellStart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polupravac</w:t>
            </w:r>
            <w:proofErr w:type="spellEnd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polupravac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polupravac</w:t>
            </w:r>
            <w:proofErr w:type="spellEnd"/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F94F" w14:textId="77777777" w:rsidR="006713C3" w:rsidRDefault="006713C3" w:rsidP="00394D17">
      <w:pPr>
        <w:spacing w:after="0" w:line="240" w:lineRule="auto"/>
      </w:pPr>
      <w:r>
        <w:separator/>
      </w:r>
    </w:p>
  </w:endnote>
  <w:endnote w:type="continuationSeparator" w:id="0">
    <w:p w14:paraId="34D364E8" w14:textId="77777777" w:rsidR="006713C3" w:rsidRDefault="006713C3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4F49" w14:textId="77777777" w:rsidR="006713C3" w:rsidRDefault="006713C3" w:rsidP="00394D17">
      <w:pPr>
        <w:spacing w:after="0" w:line="240" w:lineRule="auto"/>
      </w:pPr>
      <w:r>
        <w:separator/>
      </w:r>
    </w:p>
  </w:footnote>
  <w:footnote w:type="continuationSeparator" w:id="0">
    <w:p w14:paraId="65F2118B" w14:textId="77777777" w:rsidR="006713C3" w:rsidRDefault="006713C3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F7BB9"/>
    <w:multiLevelType w:val="hybridMultilevel"/>
    <w:tmpl w:val="05027370"/>
    <w:lvl w:ilvl="0" w:tplc="9DE6E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11883">
    <w:abstractNumId w:val="31"/>
  </w:num>
  <w:num w:numId="2" w16cid:durableId="1776169253">
    <w:abstractNumId w:val="7"/>
  </w:num>
  <w:num w:numId="3" w16cid:durableId="105929182">
    <w:abstractNumId w:val="0"/>
  </w:num>
  <w:num w:numId="4" w16cid:durableId="1616211792">
    <w:abstractNumId w:val="17"/>
  </w:num>
  <w:num w:numId="5" w16cid:durableId="1420176036">
    <w:abstractNumId w:val="20"/>
  </w:num>
  <w:num w:numId="6" w16cid:durableId="1386029208">
    <w:abstractNumId w:val="13"/>
  </w:num>
  <w:num w:numId="7" w16cid:durableId="1360932483">
    <w:abstractNumId w:val="24"/>
  </w:num>
  <w:num w:numId="8" w16cid:durableId="290669078">
    <w:abstractNumId w:val="12"/>
  </w:num>
  <w:num w:numId="9" w16cid:durableId="175271397">
    <w:abstractNumId w:val="36"/>
  </w:num>
  <w:num w:numId="10" w16cid:durableId="1888294223">
    <w:abstractNumId w:val="33"/>
  </w:num>
  <w:num w:numId="11" w16cid:durableId="1105735858">
    <w:abstractNumId w:val="27"/>
  </w:num>
  <w:num w:numId="12" w16cid:durableId="1407335351">
    <w:abstractNumId w:val="34"/>
  </w:num>
  <w:num w:numId="13" w16cid:durableId="71706304">
    <w:abstractNumId w:val="23"/>
  </w:num>
  <w:num w:numId="14" w16cid:durableId="893807735">
    <w:abstractNumId w:val="19"/>
  </w:num>
  <w:num w:numId="15" w16cid:durableId="1243835062">
    <w:abstractNumId w:val="6"/>
  </w:num>
  <w:num w:numId="16" w16cid:durableId="2109227832">
    <w:abstractNumId w:val="10"/>
  </w:num>
  <w:num w:numId="17" w16cid:durableId="297540623">
    <w:abstractNumId w:val="28"/>
  </w:num>
  <w:num w:numId="18" w16cid:durableId="1328480795">
    <w:abstractNumId w:val="4"/>
  </w:num>
  <w:num w:numId="19" w16cid:durableId="527371245">
    <w:abstractNumId w:val="8"/>
  </w:num>
  <w:num w:numId="20" w16cid:durableId="937173987">
    <w:abstractNumId w:val="5"/>
  </w:num>
  <w:num w:numId="21" w16cid:durableId="1351761802">
    <w:abstractNumId w:val="30"/>
  </w:num>
  <w:num w:numId="22" w16cid:durableId="2145464264">
    <w:abstractNumId w:val="35"/>
  </w:num>
  <w:num w:numId="23" w16cid:durableId="1993672772">
    <w:abstractNumId w:val="1"/>
  </w:num>
  <w:num w:numId="24" w16cid:durableId="107698462">
    <w:abstractNumId w:val="22"/>
  </w:num>
  <w:num w:numId="25" w16cid:durableId="1753894752">
    <w:abstractNumId w:val="14"/>
  </w:num>
  <w:num w:numId="26" w16cid:durableId="267156187">
    <w:abstractNumId w:val="16"/>
  </w:num>
  <w:num w:numId="27" w16cid:durableId="1107165749">
    <w:abstractNumId w:val="2"/>
  </w:num>
  <w:num w:numId="28" w16cid:durableId="608319162">
    <w:abstractNumId w:val="3"/>
  </w:num>
  <w:num w:numId="29" w16cid:durableId="1015840387">
    <w:abstractNumId w:val="21"/>
  </w:num>
  <w:num w:numId="30" w16cid:durableId="913122185">
    <w:abstractNumId w:val="29"/>
  </w:num>
  <w:num w:numId="31" w16cid:durableId="1702705083">
    <w:abstractNumId w:val="11"/>
  </w:num>
  <w:num w:numId="32" w16cid:durableId="162430508">
    <w:abstractNumId w:val="9"/>
  </w:num>
  <w:num w:numId="33" w16cid:durableId="910384582">
    <w:abstractNumId w:val="37"/>
  </w:num>
  <w:num w:numId="34" w16cid:durableId="1609460258">
    <w:abstractNumId w:val="26"/>
  </w:num>
  <w:num w:numId="35" w16cid:durableId="1093941326">
    <w:abstractNumId w:val="25"/>
  </w:num>
  <w:num w:numId="36" w16cid:durableId="1692418921">
    <w:abstractNumId w:val="18"/>
  </w:num>
  <w:num w:numId="37" w16cid:durableId="344290976">
    <w:abstractNumId w:val="15"/>
  </w:num>
  <w:num w:numId="38" w16cid:durableId="1334067644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ED0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713C3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E5B89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E51A-C3AF-4054-B93A-2CB82C5F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69</Pages>
  <Words>25210</Words>
  <Characters>143702</Characters>
  <Application>Microsoft Office Word</Application>
  <DocSecurity>0</DocSecurity>
  <Lines>1197</Lines>
  <Paragraphs>337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Ivana Pavlečić</cp:lastModifiedBy>
  <cp:revision>163</cp:revision>
  <cp:lastPrinted>2019-12-30T05:49:00Z</cp:lastPrinted>
  <dcterms:created xsi:type="dcterms:W3CDTF">2019-10-11T20:12:00Z</dcterms:created>
  <dcterms:modified xsi:type="dcterms:W3CDTF">2023-09-15T15:10:00Z</dcterms:modified>
</cp:coreProperties>
</file>